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512C20">
              <w:rPr>
                <w:rFonts w:ascii="Arial" w:hAnsi="Arial" w:cs="Arial"/>
                <w:b/>
                <w:sz w:val="36"/>
                <w:szCs w:val="36"/>
              </w:rPr>
              <w:t>Přístroje pro cílenou radiofrekvenční tera</w:t>
            </w:r>
            <w:r w:rsidR="00CF4AD4">
              <w:rPr>
                <w:rFonts w:ascii="Arial" w:hAnsi="Arial" w:cs="Arial"/>
                <w:b/>
                <w:sz w:val="36"/>
                <w:szCs w:val="36"/>
              </w:rPr>
              <w:t>p</w:t>
            </w:r>
            <w:r w:rsidR="00512C20">
              <w:rPr>
                <w:rFonts w:ascii="Arial" w:hAnsi="Arial" w:cs="Arial"/>
                <w:b/>
                <w:sz w:val="36"/>
                <w:szCs w:val="36"/>
              </w:rPr>
              <w:t>ii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2E6C4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30</cp:revision>
  <cp:lastPrinted>2015-12-15T12:43:00Z</cp:lastPrinted>
  <dcterms:created xsi:type="dcterms:W3CDTF">2017-03-06T09:00:00Z</dcterms:created>
  <dcterms:modified xsi:type="dcterms:W3CDTF">2020-06-11T12:36:00Z</dcterms:modified>
</cp:coreProperties>
</file>